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26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  <w:rPr>
          <w:b/>
        </w:rPr>
      </w:pPr>
      <w:r>
        <w:rPr>
          <w:b/>
        </w:rPr>
        <w:t>Об основных изменениях федерального законодательства в январе-марте 2014 года.</w:t>
      </w:r>
    </w:p>
    <w:p w:rsidR="00B05526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  <w:rPr>
          <w:b/>
        </w:rPr>
      </w:pP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  <w:rPr>
          <w:b/>
        </w:rPr>
      </w:pPr>
      <w:r w:rsidRPr="00A7441A">
        <w:rPr>
          <w:b/>
        </w:rPr>
        <w:t>С 1 января 2014 года введен новый порядок осуществления государственного контроля (надзора) за деятельностью органов и должностных лиц местного самоуправления.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В соответствии ст. 77 Федерального закона от 06.10.2003 № 131-ФЗ «Об общих принципах организации местного самоуправления в Российской Федерации» на органы прокуратуры возложены дополнительные полномочия по формированию ежегодного </w:t>
      </w:r>
      <w:proofErr w:type="gramStart"/>
      <w:r w:rsidRPr="00A7441A">
        <w:t>плана проведения проверок деятельности органов местного самоуправления</w:t>
      </w:r>
      <w:proofErr w:type="gramEnd"/>
      <w:r w:rsidRPr="00A7441A">
        <w:t xml:space="preserve"> и их должностных лиц, а также согласованию проведения внеплановых проверок в отношении названных субъектов правоотношений. Данным законом определен порядок направления, рассмотрения проектов планов органов государственного контроля (надзора) о проведении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Так, проекты ежегодных планов проведения проверок органами государственного контроля (надзора) деятельности органов местного самоуправления и их должностных лиц направляются в прокуратуру соответствующего субъекта Российской Федерации не позднее 1 сентября года,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На основании представленных органами государственного контроля (надзора) проектов органы прокуратуры формируют ежегодный план проведения проверок не позднее 1 октября года,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Ежегодный план проведения проверок подлежит размещению на официальных сайтах прокуратуры субъекта и соответствующего органа государственного контроля (надзора) в сети Интернет не позднее 1 ноября года</w:t>
      </w:r>
      <w:r w:rsidRPr="00A7441A">
        <w:rPr>
          <w:b/>
          <w:bCs/>
        </w:rPr>
        <w:t>,</w:t>
      </w:r>
      <w:r w:rsidRPr="00A7441A">
        <w:t xml:space="preserve">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Новой редакцией ст. 77 Закона № 131-ФЗ определена периодичность проведения плановых проверочных мероприятий: не чаще одного раза в два года, перечень сведений, включаемых в ежегодный план проведения проверок, а также основания для проведения внеплановых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Теперь и внеплановые проверки деятельности органов местного самоуправления и должностных лиц местного самоуправления будут проводиться органами государственного контроля (надзора) только после согласования с прокуратурой субъекта Российской Федерации.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Кроме того, ст. 77 Закона № 131-ФЗ предусмотрена обязанность органов контроля (надзора) в течение одного месяца на официальном сайте </w:t>
      </w:r>
      <w:proofErr w:type="gramStart"/>
      <w:r w:rsidRPr="00A7441A">
        <w:t>разместить информацию</w:t>
      </w:r>
      <w:proofErr w:type="gramEnd"/>
      <w:r w:rsidRPr="00A7441A">
        <w:t xml:space="preserve"> о результатах проведенной проверки деятельности органов местного самоуправления и их должностных лиц, в том числе о выявленных нарушениях и предписаниях об их устранении.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Введение данного порядка упорядочит деятельность в области государственного контроля.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С 1 января 2014 года введен новый порядок осуществления государственного контроля (надзора) за деятельностью органов и должностных лиц местного самоуправления.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В соответствии ст. 77 Федерального закона от 06.10.2003 № 131-ФЗ «Об общих принципах организации местного самоуправления в Российской Федерации» на органы прокуратуры возложены дополнительные полномочия по формированию ежегодного </w:t>
      </w:r>
      <w:proofErr w:type="gramStart"/>
      <w:r w:rsidRPr="00A7441A">
        <w:t>плана проведения проверок деятельности органов местного самоуправления</w:t>
      </w:r>
      <w:proofErr w:type="gramEnd"/>
      <w:r w:rsidRPr="00A7441A">
        <w:t xml:space="preserve"> и их должностных лиц, а также согласованию проведения внеплановых проверок в отношении названных субъектов правоотношений. Данным законом определен порядок направления, рассмотрения проектов планов органов государственного контроля (надзора) о проведении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Так, проекты ежегодных планов проведения проверок органами государственного контроля (надзора) деятельности органов местного самоуправления и их должностных лиц направляются в прокуратуру соответствующего субъекта Российской Федерации не позднее 1 сентября года,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На основании представленных органами государственного контроля (надзора) проектов органы прокуратуры формируют ежегодный план проведения проверок не позднее 1 октября года,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Ежегодный план проведения проверок подлежит размещению на официальных сайтах прокуратуры субъекта и соответствующего органа государственного контроля </w:t>
      </w:r>
      <w:r w:rsidRPr="00A7441A">
        <w:lastRenderedPageBreak/>
        <w:t>(надзора) в сети Интернет не позднее 1 ноября года</w:t>
      </w:r>
      <w:r w:rsidRPr="00A7441A">
        <w:rPr>
          <w:b/>
          <w:bCs/>
        </w:rPr>
        <w:t>,</w:t>
      </w:r>
      <w:r w:rsidRPr="00A7441A">
        <w:t xml:space="preserve"> предшествующего году проведения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Новой редакцией ст. 77 Закона № 131-ФЗ определена периодичность проведения плановых проверочных мероприятий: не чаще одного раза в два года, перечень сведений, включаемых в ежегодный план проведения проверок, а также основания для проведения внеплановых проверок.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Теперь и внеплановые проверки деятельности органов местного самоуправления и должностных лиц местного самоуправления будут проводиться органами государственного контроля (надзора) только после согласования с прокуратурой субъекта Российской Федерации.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Кроме того, ст. 77 Закона № 131-ФЗ предусмотрена обязанность органов контроля (надзора) в течение одного месяца на официальном сайте </w:t>
      </w:r>
      <w:proofErr w:type="gramStart"/>
      <w:r w:rsidRPr="00A7441A">
        <w:t>разместить информацию</w:t>
      </w:r>
      <w:proofErr w:type="gramEnd"/>
      <w:r w:rsidRPr="00A7441A">
        <w:t xml:space="preserve"> о результатах проведенной проверки деятельности органов местного самоуправления и их должностных лиц, в том числе о выявленных нарушениях и предписаниях об их устранении.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Введение данного порядка упорядочит деятельность в области государственного контроля.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Верховным Судом России разъяснены особенности правового регулирования труда женщин, лиц с семейными обязанностями и несовершеннолетних.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целях обеспечения единства практики применения судами законодательства, регулирующего труд женщин, лиц с семейными обязанностями и несовершеннолетних, а также учитывая вопросы, возникающие у судов при рассмотрении трудовых споров с их участием, Пленум Верховного Суда Российской Федерации в  постановлении от 28.01.2014 № 1 дал некоторые разъяснения по особенностям правового регулирования труда названных категорий работников. </w:t>
      </w:r>
      <w:proofErr w:type="gramEnd"/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Верховный Суд РФ раскрыл содержание понятий "лица с семейными обязанностями" и "лица, воспитывающие детей без матери". К ним относятся, в частности: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- родитель, усыновитель, лицо, наделенное правами и обязанностями опекуна или попечителя (то есть лица, которые обязаны воспитывать и развивать ребенка в соответствии с семейным и иным законодательством);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- другой родственник ребенка, фактически осуществляющий уход за ним, в случаях, прямо предусмотренных законом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- лицо, имеющее обязанности в отношении других членов своей семьи, нуждающихся в установленных случаях в уходе или помощи.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Этот перечень не является исчерпывающим - суд может включить в него и других лиц, которые, например, воспитывают ребенка или осуществляют уход за членом семьи.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Приведен перечень обстоятельств, при которых отец, а также лицо, наделенное правами опекуна или попечителя, признаются воспитывающими ребенка без матери (</w:t>
      </w:r>
      <w:proofErr w:type="spellStart"/>
      <w:r>
        <w:fldChar w:fldCharType="begin"/>
      </w:r>
      <w:r>
        <w:instrText xml:space="preserve"> HYPERLINK "consultantplus://offline/ref=D7BE224FEAB949CABBB6F1FB6556F1ADE3315D0E091CAAB187DDAF34E89D85D9226BA72F407CD63Fx651F" </w:instrText>
      </w:r>
      <w:r>
        <w:fldChar w:fldCharType="separate"/>
      </w:r>
      <w:r w:rsidRPr="00A7441A">
        <w:rPr>
          <w:rStyle w:val="a4"/>
        </w:rPr>
        <w:t>абз</w:t>
      </w:r>
      <w:proofErr w:type="spellEnd"/>
      <w:r w:rsidRPr="00A7441A">
        <w:rPr>
          <w:rStyle w:val="a4"/>
        </w:rPr>
        <w:t>. 3 п. 2</w:t>
      </w:r>
      <w:r>
        <w:rPr>
          <w:rStyle w:val="a4"/>
        </w:rPr>
        <w:fldChar w:fldCharType="end"/>
      </w:r>
      <w:r w:rsidRPr="00A7441A">
        <w:t xml:space="preserve"> Постановления). Это, в частности, смерть матери ребенка, лишение родительских прав или ограничение в них, признание женщины безвестно отсутствующей, недееспособной (ограниченно дееспособной), отбывание наказания в учреждениях, исполняющих наказание в виде лишения свободы. 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Пленум разъяснил, какие трудовые гарантии и льготы имеют отдельные категории лиц, воспитывающих детей без матери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A7441A">
        <w:t>Постановлением раскрыто понятие дискриминации в сфере трудовых правоотношений, указано, что в отношении женщин, лиц с семейными обязанностями и несовершеннолетних не допускаются различия при приеме на работу, установлении оплаты труда, продвижении по службе, установлении или изменении индивидуальных условий труда, подготовке (профессиональное образование и профессиональное обучение) и дополнительном профессиональном образовании, расторжении трудового договора, не основанные на деловых качествах работников, характеристиках условий их</w:t>
      </w:r>
      <w:proofErr w:type="gramEnd"/>
      <w:r w:rsidRPr="00A7441A">
        <w:t xml:space="preserve"> труда.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Разъяснены особенности прекращения трудового договора с беременными женщинами.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В соответствии с  частью первой статьи 261 ТК  РФ запрещается расторжение трудового договора по инициативе работодателя с беременными женщинами, за исключением случаев ликвидации организации либо прекращения деятельности индивидуальным предпринимателем.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A7441A">
        <w:lastRenderedPageBreak/>
        <w:t>Не безынтересным</w:t>
      </w:r>
      <w:proofErr w:type="gramEnd"/>
      <w:r w:rsidRPr="00A7441A">
        <w:t xml:space="preserve"> является то обстоятельство, что увольнение беременной женщины по инициативе работодателя запрещается, в том числе отсутствие у работодателя сведений о ее беременности не является основанием для отказа в удовлетворении иска о восстановлении на работе.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Если срочный договор истекает в период беременности сотрудницы, она может обратиться к работодателю с заявлением о его продлении. Пленум Верховного Суда РФ отметил, что срочный трудовой договор продлевается до окончания беременности независимо от причин ее окончания (рождение ребенка, самопроизвольный выкидыш, аборт по медицинским показаниям и т.д.).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После рождения ребенка увольнение может быть оформлено в связи с окончанием срочного трудового договора в день завершения отпуска по беременности и родам. В иных случаях оно производится в течение недели со дня, когда работодатель узнал или должен был узнать о факте окончания беременности.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учащихся не прошедших промежуточной аттестации по уважительным причинам.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13.12.2013 N 1342 «О 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 учащиеся основных образовательных программ основного общего и среднего общего образования, не прошедшие промежуточной аттестации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уважительным причинам или 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академическую задолженность, теперь могут быть переведены в следующий класс условно. Согласно ранее действовавшему положению в следующий класс могли быть условно переведены только учащиеся, имеющие по итогам учебного года академическую задолженность по одному учебному предмету.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 порядок подачи и рассмотрения частных жалоб по гражданским делам.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внесены Федеральным законом от 28.12.2013 № 436-ФЗ в целях приведения статьи 333 Гражданского процессуального кодекса Российской Федерации в соответствие с ее конституционно-правовым смыслом, установленным Постановлением Конституционного Суда Российской Федерации от 30.11.2012 № 29-П.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частности, на суд первой инстанции возложена обязанность 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участвующим в деле, копии частной жалобы, представления прокурора и приложенных к ним документов с назначением разумного срока, в течение которого указанные лица вправе представить в суд первой инстанции возражения в письменной форме относительно частной жалобы с приложением подтверждающих их документов.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 перечень определений суда первой инстанции, в отношении которых частные жалобы и представления прокурора рассматриваются с извещением лиц, участвующих в деле. 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данный перечень вошли, в том числе определения суда о приостановлении производства по делу, о прекращении производства по делу, об оставлении заявления без рассмотрения, об удовлетворении или об отказе в удовлетворении заявления, представления о пересмотре судебных постановлений по вновь открывшимся или новым обстоятельствам, о принудительном исполнении или об отказе в принудительном исполнении решения иностранного суда. </w:t>
      </w:r>
      <w:proofErr w:type="gramEnd"/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по делам, где извещение лиц является необязательным, закреплено право суда апелляционной инстанции с учетом характера и сложности разрешаемого процессуального вопроса, а также доводов частной жалобы, представления прокурора и возражений относительно них, вызывать лиц, участвующих в деле, в судебное заседание. </w:t>
      </w:r>
    </w:p>
    <w:p w:rsidR="00B05526" w:rsidRPr="00A7441A" w:rsidRDefault="00B05526" w:rsidP="00B05526">
      <w:pPr>
        <w:pStyle w:val="2"/>
        <w:spacing w:before="0" w:beforeAutospacing="0" w:after="0" w:afterAutospacing="0" w:line="240" w:lineRule="exact"/>
        <w:ind w:firstLine="709"/>
        <w:jc w:val="both"/>
        <w:rPr>
          <w:sz w:val="24"/>
          <w:szCs w:val="24"/>
        </w:rPr>
      </w:pPr>
      <w:r w:rsidRPr="00A7441A">
        <w:rPr>
          <w:sz w:val="24"/>
          <w:szCs w:val="24"/>
        </w:rPr>
        <w:t>Систематическое предоставление помещений для потребления наркотических средств, психотропных веществ и их аналогов – уголовно наказуемое деяние.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28.12.2013 N 381-ФЗ "О внесении изменений в статью 232 Уголовного кодекса Российской Федерации" изменена статья 232 Уголовного кодекса Российской Федерации (организация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аналогов).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уголовно наказуемым деянием выступает также систематическое предоставление помещений для потребления наркотических средств, психотропных веществ и их аналогов.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систематическим предоставлением помещений понимается предоставление помещений более двух раз.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действия наказываются  лишением свободы 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срок до четырех лет с ограничением свободы на срок до одного года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без такового, а совершенные группой лиц по предварительному сговору или организованной группой - более строгим наказанием - вплоть до 7 лет лишения свободы.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Владелец специального счета капитального ремонта.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 году собственниками помещений в многоквартирных домах надлежит уплачивать дополнительный платеж – взнос на капитальный ремонт. Уплаченные собственниками взносы на капитальный ремонт образуют фонд капитального ремонта (ч.1 ст. 170 Жилищного кодекса Российской Федерации).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знать, что собственники вправе выбрать один из следующих способов формирования фонда капитального ремонта: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перечисление взносов на капитальный ремонт на специальный счет в целях формирования фонда капитального ремонта в виде денежных средств, находящихся на специальном счете (формирование фонда капитального ремонта на специальном счете);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(формирование фонда капитального ремонта на счете регионального оператора).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возникают вопросы о том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кто может быть владельцем спе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циального счета. Ответ на этот вопрос дан законодателем в части 2 статьи 175 Жилищного кодекса Российской Федерации (ЖК РФ), согласно которой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владельцем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счета может быть: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товарищество собственников жилья, осуществляющее управление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многоквартирным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домом и созданное собственниками помещений в одном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или нескольких многоквартирных домах, количество квартир в которых составляет в сумме не более чем тридцать, если данные дома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земельных участках, которые в соответствии с содержащимися в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кадастре недвижимости документами имеют общую границу и в пределах которых имеются сети инженерно-технического обеспечения, другие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инфраструктуры, которые предназначены для совместного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собственниками помещений в данных домах;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многоквартирным домом жилищный кооператив или иной специализированный потребительский кооператив.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помещений в многоквартирном доме вправе также принять решение о выборе регионального оператора в качестве владельца специального счета (ч. 3 ст. 175 ЖК РФ). По смыслу закона этот перечень является исчерпывающим.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 непосредственном способе управления домом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собственниками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управлении управляющей компанией законом не предусмотрено других вариантов, кроме формирования фонда капитального ремонта на счете регионального оператора.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также знать, что в силу ч. 5 ст. 170 ЖК РФ решение об определении способа формирования фонда капитального ремонта должно быть принято собственниками и реализовано не позднее, чем в течение шести месяцев после официального опубликования региональной программы капитального ремонта, в которую включен многоквартирный дом, в отношении которого решается вопрос о выборе способа формирования его фонда капитального ремонта.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реализации решения о формировании фонда капитального ремонта на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специальном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счете, открытом на имя регионального оператора, собственники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многоквартирном доме должны направить в адрес регионального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протокола общего собрания таких собственников, которым оформлено это решение.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трудовых правах несовершеннолетних.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63 Трудового кодекса Российской Федерации (далее - ТК РФ) заключение трудовых договоров с несовершеннолетними допускается.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 общему правилу, установленному данной нормой закона, на работу могут быть приняты несовершеннолетние, достигшие возраста шестнадцати лет.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из этого правила имеются исключения.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Так, если несовершеннолетнему исполнилось 15 лет, и он получил или получает общее образование, с ним может быть заключен трудовой договор для выполнения легкого труда, не причиняющего вреда его здоровью.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согласия одного из родителей (попечителя) и органа опеки и попечительства допускается трудоустройство несовершеннолетнего, достигшего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трудового договора с детьми, не достигшими 14-летнего возраста, возможно в случае их трудоустройства в организации кинематографии, театры, театральные и концертные организации, цирки, для участия в создании и (или) исполнении (экспонировании) произведений, без ущерба их здоровью и нравственному развитию. При этом для заключения такого трудового договора требуется согласие одного из родителей (попечителя) и разрешение органа опеки попечительства. Сам трудовой договор от имени малолетнего работника подписывается его родителем (опекуном).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Предусматривая возможность трудоустройства несовершеннолетних, законодательством определен перечень работ, на которых применение труда лиц, не достигших восемнадцатилетнего возраста, не допускается.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согласно статье 265 ТК РФ  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токсическими препаратами, материалами эротического содержания).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требований статьи 266 ТК РФ несовершеннолетние могут быть приняты на работы только после предварительного медицинского осмотра (обследования), который осуществляется за счет средств работодателя. В дальнейшем, до достижения подростками совершеннолетия, они подлежат ежегодному медицинскому осмотру (обследованию).  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нормального физического развития несовершеннолетних работников, возможности получения ими образования рядом норм трудового законодательства предусматриваются льготные условия.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согласно статье 267 ТК РФ 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268 ТК РФ установлен запрет направления несовершеннолетних работников в служебные командировки, привлечение их к сверхурочной работе, работе в ночное время, в выходные и нерабочие праздничные дни работников в возрасте до восемнадцати лет (за исключением творческих работников средств массовой информации, организаций кинематографии, тел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видеосъемочных</w:t>
      </w:r>
      <w:proofErr w:type="spell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коллективов, театров, театральных и концертных организаций, цирков и иных лиц, участвующих в создании и (или) 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(экспонировании) произведений.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269 ТК РФ предусмотрено, что расторжение трудового договора с работниками в возрасте до восемнадцати лет по инициативе работодателя (за исключением случая ликвидации организации или прекращения деятельности индивидуальным предпринимателем) допускается только с согласия соответствующей государственной инспекции труда и комиссии по делам несовершеннолетних и защите их прав.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92 ТК РФ для несовершеннолетних работников устанавливается сокращенная продолжительность рабочего времени, которая составляет: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работников в возрасте до шестнадцати лет - не более 24 часов в неделю;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работников в возрасте от шестнадцати до восемнадцати лет - не более 35 часов в неделю.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статье 270 ТК РФ нормы выработки для работников в возрасте до восемнадцати лет устанавливаются исходя из общих норм выработки пропорционально установленной для этих работников сокращенной продолжительности рабочего времени.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271 ТК РФ  заработная плата несовершеннолетним работникам  при повременной оплате труда  выплачивается с учетом сокращенной продолжительности работы. Вместе с тем работодатель может за счет собственных </w:t>
      </w: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</w:t>
      </w:r>
      <w:proofErr w:type="gramStart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оизводить им доплаты до уровня оплаты труда работников соответствующих категорий при полной продолжительности ежедневной работы.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работников в возрасте до восемнадцати лет, допущенных к сдельным работам, оплачивается по установленным сдельным расценкам. Вместе с тем работодатель может устанавливать им за счет собственных средств доплату до тарифной ставки за время, на которое сокращается продолжительность их ежедневной работы. </w:t>
      </w:r>
    </w:p>
    <w:p w:rsidR="00B05526" w:rsidRPr="007F2DE6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Оплата труда работников в возрасте до восемнадцати лет, обучающихся в организациях, осуществляющих образовательную деятельность, и работающих в свободное от учебы время, производится пропорционально отработанному времени или в зависимости от выработки. Работодатель может устанавливать этим работникам доплаты к заработной плате за счет собственных средств. </w:t>
      </w:r>
    </w:p>
    <w:p w:rsidR="00B05526" w:rsidRPr="00A7441A" w:rsidRDefault="00B05526" w:rsidP="00B05526">
      <w:pPr>
        <w:pStyle w:val="1"/>
        <w:spacing w:before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41A">
        <w:rPr>
          <w:rFonts w:ascii="Times New Roman" w:hAnsi="Times New Roman" w:cs="Times New Roman"/>
          <w:sz w:val="24"/>
          <w:szCs w:val="24"/>
        </w:rPr>
        <w:t>Правительством России внесены поправки в правила поставки газа и предоставления коммунальных услуг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8"/>
        <w:jc w:val="both"/>
      </w:pPr>
      <w:r>
        <w:t>П</w:t>
      </w:r>
      <w:r w:rsidRPr="00A7441A">
        <w:t>остановлением Правительства РФ от 17.02.2014 внесены коррективы в Правила поставки газа для обеспечения коммунально-бытовых нужд граждан и Правила предоставления коммунальных услуг собственникам и пользователям помещений в многоквартирных домах и жилых домов.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jc w:val="both"/>
      </w:pPr>
      <w:r w:rsidRPr="00A7441A">
        <w:t xml:space="preserve">        </w:t>
      </w:r>
      <w:r>
        <w:tab/>
      </w:r>
      <w:r w:rsidRPr="00A7441A">
        <w:t xml:space="preserve">Так, поставщику предоставлено право в одностороннем порядке </w:t>
      </w:r>
      <w:proofErr w:type="gramStart"/>
      <w:r w:rsidRPr="00A7441A">
        <w:t>приостановить</w:t>
      </w:r>
      <w:proofErr w:type="gramEnd"/>
      <w:r w:rsidRPr="00A7441A">
        <w:t xml:space="preserve"> исполнение обязательств по поставке газа с предварительным письменным уведомлением абонента, если потребленный газ полностью или частично не оплачен в течение двух (а не трех, как было ранее) расчетных периодов подряд.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jc w:val="both"/>
      </w:pPr>
      <w:r w:rsidRPr="00A7441A">
        <w:t>       </w:t>
      </w:r>
      <w:r>
        <w:tab/>
      </w:r>
      <w:r w:rsidRPr="00A7441A">
        <w:t xml:space="preserve"> До приостановления исполнения договора поставщик газа обязан направить абоненту одно уведомление (вместо двух, ранее предусмотренных) по почте заказным письмом (с уведомлением о его вручении) о предстоящем приостановлении подачи газа и его причинах не </w:t>
      </w:r>
      <w:proofErr w:type="gramStart"/>
      <w:r w:rsidRPr="00A7441A">
        <w:t>позднее</w:t>
      </w:r>
      <w:proofErr w:type="gramEnd"/>
      <w:r w:rsidRPr="00A7441A">
        <w:t xml:space="preserve"> чем за 20 календарных дней.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jc w:val="both"/>
      </w:pPr>
      <w:r w:rsidRPr="00A7441A">
        <w:t xml:space="preserve">        </w:t>
      </w:r>
      <w:r>
        <w:tab/>
      </w:r>
      <w:r w:rsidRPr="00A7441A">
        <w:t>В Правилах предоставления коммунальных услуг собственникам и пользователям помещений в многоквартирных домах и жилых домов уточнено, что под неполной оплатой потребителем коммунальной услуги понимается наличие у него задолженности по оплате одной коммунальной услуги в размере, превышающем сумму двух (вместо трех) месячных размеров платы.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jc w:val="both"/>
      </w:pPr>
      <w:r w:rsidRPr="00A7441A">
        <w:t>        Потребитель-должник будет предупреждаться о том, что предоставление ему коммунальной услуги может быть сначала ограничено, а затем приостановлено либо (при отсутствии технической возможности введения ограничения) приостановлено без предварительного введения ограничения. Исполнитель направит письменное уведомление о применении этой меры в случае непогашения задолженности в течение 20 (а не 30, как прежде) дней с момента его передачи должнику.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jc w:val="both"/>
      </w:pPr>
      <w:r w:rsidRPr="00A7441A">
        <w:t>        Внесенные поправки вступили в силу 1 марта 2014 года.</w:t>
      </w:r>
    </w:p>
    <w:p w:rsidR="00B05526" w:rsidRPr="00A7441A" w:rsidRDefault="00B05526" w:rsidP="00B05526">
      <w:pPr>
        <w:pStyle w:val="1"/>
        <w:spacing w:before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41A">
        <w:rPr>
          <w:rFonts w:ascii="Times New Roman" w:hAnsi="Times New Roman" w:cs="Times New Roman"/>
          <w:sz w:val="24"/>
          <w:szCs w:val="24"/>
        </w:rPr>
        <w:t>Принят закон, ограничивающий повышение размера вносимой гражданами платы за коммунальные услуги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В Жилищный кодекс РФ введена статья, устанавливающая ограничения повышения размера вносимой гражданами платы за коммунальные услуги.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Так, размер вносимой платы не должен повышаться сверх предельных (максимальных) индексов его изменения в муниципальных образованиях. Индексы должны утверждаться высшим должностным лицом (руководителем высшего исполнительного органа </w:t>
      </w:r>
      <w:proofErr w:type="spellStart"/>
      <w:r w:rsidRPr="00A7441A">
        <w:t>госвласти</w:t>
      </w:r>
      <w:proofErr w:type="spellEnd"/>
      <w:r w:rsidRPr="00A7441A">
        <w:t>) региона (в ряде случаев - по согласованию с представительными органами муниципальных образований). Правительство РФ определит значения индексов в среднем по субъектам РФ и утвердит основы формирования индексов.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Предельные индексы и индексы по регионам устанавливаются на долгосрочный период (минимум на 3 года, если иное не укажет Правительство РФ).</w:t>
      </w:r>
    </w:p>
    <w:p w:rsidR="00B05526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Также уделено внимание вопросам капитального ремонта общего имущества в многоквартирном доме. Региональные органы </w:t>
      </w:r>
      <w:proofErr w:type="spellStart"/>
      <w:r w:rsidRPr="00A7441A">
        <w:t>госвласти</w:t>
      </w:r>
      <w:proofErr w:type="spellEnd"/>
      <w:r w:rsidRPr="00A7441A">
        <w:t xml:space="preserve"> должны определять порядок установления необходимости проведения капитального ремонта. </w:t>
      </w:r>
      <w:proofErr w:type="gramStart"/>
      <w:r w:rsidRPr="00A7441A">
        <w:t>Увеличен с 4 до 8 месяцев (начиная со следующего за тем, в котором официально опубликована утвержденная программа, в которую включен дом) общий срок, по истечении которого у собственников возникает обязанность по уплате взносов на капремонт.</w:t>
      </w:r>
      <w:proofErr w:type="gramEnd"/>
    </w:p>
    <w:p w:rsidR="00B05526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С</w:t>
      </w:r>
      <w:r w:rsidRPr="00A7441A">
        <w:t>корректирована также деятельность регионального оператора по финансированию капремонта.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Кроме того, изменения коснулись закона о Фонде содействия реформированию ЖКХ.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lastRenderedPageBreak/>
        <w:t>Изменения в части льготных тарифов внесены в закон о водоснабжении и водоотведении. Запрещено повышать тарифы в сфере водоснабжения и водоотведения для других потребителей, если для отдельных категорий установлены льготные тарифы.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Прописано, что законом субъекта РФ могут устанавливаться лица, имеющие право на льготы, основания для их предоставления и порядок компенсации  выпадающих доходов организаций, осуществляющих водоснабжение и (или) водоотведение.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Поправки вступили в силу 30 декабря 2013 года. Индексы изменения платы за коммунальные услуги на первый долгосрочный период должны быть установлены не позднее 1 мая 2014 года и будут введены в действие с 1 июля 2014 года. </w:t>
      </w:r>
    </w:p>
    <w:p w:rsidR="00B05526" w:rsidRPr="00A7441A" w:rsidRDefault="00B05526" w:rsidP="00B05526">
      <w:pPr>
        <w:pStyle w:val="1"/>
        <w:spacing w:before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41A">
        <w:rPr>
          <w:rFonts w:ascii="Times New Roman" w:hAnsi="Times New Roman" w:cs="Times New Roman"/>
          <w:sz w:val="24"/>
          <w:szCs w:val="24"/>
        </w:rPr>
        <w:t>На каждой школе должен быть вывешен Государственный флаг России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Принят закон о более широком использовании Государственного флага и гимна России</w:t>
      </w:r>
      <w:r>
        <w:t xml:space="preserve"> </w:t>
      </w:r>
      <w:r w:rsidRPr="00A7441A">
        <w:t>для воспитания гражданственности и патриотизма.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П</w:t>
      </w:r>
      <w:r w:rsidRPr="00A7441A">
        <w:t xml:space="preserve">оправки предусматривают, что Государственный флаг должен быть постоянно вывешен на зданиях всех общеобразовательных организаций или установлен на их территориях. Также флаг России поднимается (устанавливается) во время массовых мероприятий (включая </w:t>
      </w:r>
      <w:proofErr w:type="gramStart"/>
      <w:r w:rsidRPr="00A7441A">
        <w:t>спортивные</w:t>
      </w:r>
      <w:proofErr w:type="gramEnd"/>
      <w:r w:rsidRPr="00A7441A">
        <w:t xml:space="preserve"> и физкультурно-оздоровительные), проводимых любыми образовательными организациями.</w:t>
      </w:r>
      <w:r w:rsidRPr="00A7441A">
        <w:br/>
        <w:t xml:space="preserve">        </w:t>
      </w:r>
      <w:r>
        <w:tab/>
      </w:r>
      <w:r w:rsidRPr="00A7441A">
        <w:t>Кроме того, перед первым уроком (занятием) в день начала нового учебного года во всех образовательных организациях должен исполняться Государственный гимн. Звучать он будет и во время проводимых ими торжественных мероприятий, посвященных государственным и муниципальным праздникам.</w:t>
      </w:r>
      <w:r w:rsidRPr="00A7441A">
        <w:br/>
        <w:t>        В обязательном порядке подлежит исполнению гимн России при открытии памятников и памятных знаков, установленных по решению госорганов и местных властей. Также теперь он должен звучать при открытии и закрытии торжественных собраний как в честь государственных, так и муниципальных праздников.</w:t>
      </w:r>
      <w:r w:rsidRPr="00A7441A">
        <w:br/>
        <w:t>       Федеральный конституционный закон, которым вводятся указанные новшества, вступает в силу с 1 сентября 2014 года. </w:t>
      </w:r>
    </w:p>
    <w:p w:rsidR="00B05526" w:rsidRPr="00A7441A" w:rsidRDefault="00B05526" w:rsidP="00B05526">
      <w:pPr>
        <w:pStyle w:val="1"/>
        <w:spacing w:before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41A">
        <w:rPr>
          <w:rFonts w:ascii="Times New Roman" w:hAnsi="Times New Roman" w:cs="Times New Roman"/>
          <w:sz w:val="24"/>
          <w:szCs w:val="24"/>
        </w:rPr>
        <w:t>Ужесточена ответственность за фиктивную регистрацию граждан в жилых помещениях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С 3 января 2014 года вступил в силу федеральный закон, которым внесены изменения в ряд законодательных актов, касающиеся усиления ответственности за нарушение правил регистрационного учета по месту жительства и пребывания граждан в жилых помещениях.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Т</w:t>
      </w:r>
      <w:r w:rsidRPr="00A7441A">
        <w:t>ак, установлено уголовное наказание за фиктивную регистрацию. Под ней понимается регистрация на основании представления заведомо недостоверных сведений (документов) либо без намерения пребывать (проживать) в жилом помещении или предоставить его для этих целей. Предусмотрены санкции за такое преступление, одной из которых является штраф от 100 тыс. руб. до 500 тыс. руб. либо в размере зарплаты или иного дохода осужденного за период до 3 лет. Вместо него могут назначить принудительные работы или лишение свободы на срок до 3 лет с лишением права занимать некоторые должности или осуществлять определенную деятельность на аналогичный период или без такового. При этом лицо освобождается от уголовной ответственности, если оно способствовало раскрытию указанных преступлений.</w:t>
      </w:r>
    </w:p>
    <w:p w:rsidR="00B05526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Т</w:t>
      </w:r>
      <w:r w:rsidRPr="00A7441A">
        <w:t xml:space="preserve">акже ужесточена административная ответственность за проживание гражданина России по месту жительства или пребывания без регистрации (либо допущение такого проживания нанимателем (собственником) свыше установленных сроков). </w:t>
      </w:r>
      <w:proofErr w:type="gramStart"/>
      <w:r w:rsidRPr="00A7441A">
        <w:t>В данном случае штраф для граждан составляет 2-3 тыс. руб., для нанимателей (собственников) помещения (физлиц) - 2-5 тыс. руб., для организаций - 250-750 тыс. руб.</w:t>
      </w:r>
      <w:proofErr w:type="gramEnd"/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 xml:space="preserve">Кроме того, введена административная ответственность за нарушение правил регистрации гражданина России по месту пребывания или по месту жительства. Штрафы для граждан, нанимателей (собственников) и </w:t>
      </w:r>
      <w:proofErr w:type="spellStart"/>
      <w:r w:rsidRPr="00A7441A">
        <w:t>юрлиц</w:t>
      </w:r>
      <w:proofErr w:type="spellEnd"/>
      <w:r w:rsidRPr="00A7441A">
        <w:t xml:space="preserve"> такие же, как и за проживание без регистрации, для должностных лиц - 25-50 тыс. руб. Предусмотрено наказание и для нанимателя (собственника) за нарушение без уважительных причин сроков уведомления органа регистрационного учета о проживании в жилом помещении гражданина России без регистрации. Гражданам грозит штраф 2-3 тыс. руб., </w:t>
      </w:r>
      <w:proofErr w:type="spellStart"/>
      <w:r w:rsidRPr="00A7441A">
        <w:t>юрлицам</w:t>
      </w:r>
      <w:proofErr w:type="spellEnd"/>
      <w:r w:rsidRPr="00A7441A">
        <w:t xml:space="preserve"> - 4-7 тыс. руб. Это также касается представления нанимателем (собственником) в орган регистрационного учета недостоверных, заведомо ложных сведений или подложных документов о регистрации гражданина.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lastRenderedPageBreak/>
        <w:t>Все вышеперечисленные административные санкции не применяются к супруг</w:t>
      </w:r>
      <w:r>
        <w:t>а</w:t>
      </w:r>
      <w:r w:rsidRPr="00A7441A">
        <w:t>м, детям, супругам детей, к родителям, супругам родителей, к бабушкам, дедушкам и внукам нанимателя (собственника) жилого помещения.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П</w:t>
      </w:r>
      <w:r w:rsidRPr="00A7441A">
        <w:t xml:space="preserve">ринятым законом отменена необходимость регистрироваться по месту пребывания в жилом помещении, которое находится в том же регионе, в котором гражданин </w:t>
      </w:r>
      <w:proofErr w:type="gramStart"/>
      <w:r w:rsidRPr="00A7441A">
        <w:t>стоит на учете</w:t>
      </w:r>
      <w:proofErr w:type="gramEnd"/>
      <w:r w:rsidRPr="00A7441A">
        <w:t xml:space="preserve"> по месту жительства.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Разрешается не регистрироваться в Москве, если гражданин живет в столице, а зарегистрирован в Московской области и наоборот. Такое же правило действует и в отношении Санкт-Петербурга и Ленинградской области.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Орган регистрационного учета обязан зарегистрировать россиянина по месту пребывания не позднее 3 рабочих дней при подаче документов в бумажном виде и 8 рабочих дней - в электронном. Регистрация по месту пребывания производится в срок, не превышающий 90 дней со дня прибытия гражданина.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>
        <w:t>У</w:t>
      </w:r>
      <w:r w:rsidRPr="00A7441A">
        <w:t>силена и административная ответственность за проживание гражданина России без паспорта или с недействительным удостоверением личности. Штраф - 2-3 тыс. руб. (вместо 1,5-2,5 тыс. руб.).</w:t>
      </w:r>
    </w:p>
    <w:p w:rsidR="00B05526" w:rsidRPr="00A7441A" w:rsidRDefault="00B05526" w:rsidP="00B05526">
      <w:pPr>
        <w:pStyle w:val="1"/>
        <w:spacing w:before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41A">
        <w:rPr>
          <w:rFonts w:ascii="Times New Roman" w:hAnsi="Times New Roman" w:cs="Times New Roman"/>
          <w:sz w:val="24"/>
          <w:szCs w:val="24"/>
        </w:rPr>
        <w:t>Чернобыльцы вправе получить жилье независимо от даты постановки на учет в качестве нуждающихся в улучшении жилищных условий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proofErr w:type="gramStart"/>
      <w:r w:rsidRPr="00A7441A">
        <w:t>Федеральным законом от 21.12.2013 № 373-ФЗ внесены изменения в статью 17 Закона Российской Федерации «О социальной защите граждан, подвергшихся воздействию радиации вследствие катастрофы на Чернобыльской АЭС», в соответствии с которыми граждане, пострадавшие от воздействия радиации вследствие Чернобыльской катастрофы, нуждающиеся в улучшении жилищных условий, имеют право на однократное обеспечение жилой площадью в порядке, установленном Правительством РФ, независимо от даты постановки на учет</w:t>
      </w:r>
      <w:proofErr w:type="gramEnd"/>
      <w:r w:rsidRPr="00A7441A">
        <w:t xml:space="preserve"> в качестве нуждающихся в улучшении жилищных условий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Ранее обеспечение жильем данной категории граждан, вставших на учет до 1 января 2005 года, должно было проводиться в порядке, установленном Правительством РФ, а вставших на учет позднее этой даты - в соответствии с российским жилищным законодательством.</w:t>
      </w:r>
    </w:p>
    <w:p w:rsidR="00B05526" w:rsidRPr="00A7441A" w:rsidRDefault="00B05526" w:rsidP="00B05526">
      <w:pPr>
        <w:pStyle w:val="a3"/>
        <w:spacing w:before="0" w:beforeAutospacing="0" w:after="0" w:afterAutospacing="0" w:line="240" w:lineRule="exact"/>
        <w:ind w:firstLine="709"/>
        <w:jc w:val="both"/>
      </w:pPr>
      <w:r w:rsidRPr="00A7441A">
        <w:t>Поправки приняты в целях реализации Постановления Конституционного Суда РФ от 30.01.2013, согласно которому вышеуказанное положение признано  не соответствующим Конституции РФ, поскольку нарушает принцип равенства и влечет необоснованную дифференциацию в правах указанных лиц. 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и индивидуальные предприниматели будут не вправе допускать к управлению транспортными средствами водителей, у которых нет российских прав.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транспортным средством в рамках трудовой или предпринимательской деятельности согласно Федеральному закону от 07.05.2013 № 92-ФЗ «О внесении изменений в Федеральный закон «О безопасности дорожного движения» и Кодекса Российской Федерации об административных правонарушениях» вправе будут только лица, имеющие российские национальные водительские удостоверения (далее - российские права).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ограничение начнет действовать с 9 мая 2014 года. Оно касается как самих водителей, так и тех, кто допускает их к управлению автомобилем. Запрет будет распространяться на водителей вне зависимости от того, выполняют они работу по трудовому либо гражданско-правовому договору или в качестве индивидуальных предпринимателей.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9 мая 2014 года иностранные национальные и иностранные международные водительские удостоверения, которые соответствуют Конвенции о дорожном движении 1968 года, могут использоваться в России без каких-либо ограничений.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запрет на вождение без российских прав в рамках трудовой или предпринимательской деятельности не будет действовать только в одном случае - если транспортное средство участвует в международном движении. Подтвердить это перевозчик сможет, предъявив специальное разрешение, которое выдается в порядке, установленном Правительством РФ.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организация или индивидуальный предприниматель с 9 мая 2014 года будет допускать водителя с иностранным водительским удостоверением к управлению транспортным средством, то негативные последствия такого решения могут возникнуть для трех субъектов: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водителя, совершавшего перевозку, привлекут к административной ответственности в виде штрафа от 5 до 15 тыс. руб. (ч. 1 ст. 12.7 КоАП РФ), а также отстранят от управления транспортным средством (ч. 1 ст. 27.12 КоАП РФ);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понесет убытки, вызванные задержанием транспортного средства (ч. 1 ст. 27.13 КоАП РФ);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должностное лицо, ответственное за техническое состояние и эксплуатацию транспортных средств, привлекут к административной ответственности в виде штрафа 50 тыс. руб.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обмена иностранных прав на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определен только для отдельных категорий водителей.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индивидуальные предприниматели могут избежать рисков, связанных с вступлением в силу запрета на допуск иностранных водителей к управлению транспортным средством, одним способом - допускать к управлению только водителей, обладающих российским национальным водительским удостоверением. Если работодатель заключил трудовые договоры с лицами, у которых нет российских национальных водительских удостоверений, таких сотрудников можно направить на обучение для последующей сдачи необходимых экзаменов. Работодатель, впрочем, не обязан этого делать. В гражданско-правовом договоре между водителем и организацией условие о направлении на обучение, как правило, отсутствует. В этом случае обязательства водителя перед организацией прекращаются с 9 мая 2014 г. в связи с юридической невозможностью их исполнения, ведь новый закон не позволяет водителю продолжать перевозки без российских прав (п. 1 ст. 417 ГК РФ). В этом случае организация должна оплатить лишь фактически выполненную водителем до 9 мая 2014 г. работу.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требований обозначенного федерального закона возложен на органы полиции (ГИБДД), которые и будут осуществлять работу в данном направлении.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 порядок сообщения чиновниками о получении подарка, его сдачи, оценки, реализации и зачисления средств, вырученных от реализации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С 18 января 2014 года вступило в законную силу постановление Правительства Российской Федерации от 09.01.2014 № 10. Оно утвердило Типовое положение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реализации. Указанное положение разработано в целях реализации Национального плана противодействия коррупции.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документом лица, замещающие государственные (муниципальные) должности, государственные (муниципальные) служащие, служащие 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 и иных организаций, созданных Российской Федерацией,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 (должностных) обязанностей, а обо всех случаях получения подарка в связи с их должностным положением или исполнением ими служебных (должностных) обязанностей должны уведомлять работодателя.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распространяется на все подарки, полученные лицами, замещающими государственную (муниципальную) должность, служащими, работниками от физических и юридических лиц, которые осуществляют дарение исходя из должностного положения одаряемого или исполнения им служебных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ценных подарков, которые вручены в качестве награды.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Предусмотрено, что о получении подарка составляется уведомление, форма которого утверждена примерным положением</w:t>
      </w:r>
      <w:bookmarkStart w:id="0" w:name="Par0"/>
      <w:bookmarkEnd w:id="0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оно представляется не позднее 3 рабочих дней со дня получения подарка в уполномоченное структурное подразделение (уполномоченную организацию) государственного (муниципального) органа, фонда или иной организации, в которых лицо, замещающее государственную (муниципальную) 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должность, служащий, работник проходят государственную (муниципальную) службу или осуществляют трудовую деятельность.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"/>
      <w:bookmarkEnd w:id="1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по причине, не зависящей от лица, замещающего государственную (муниципальную) должность, служащего, работника, оно представляется не позднее следующего дня после ее устранения.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стоимость подарка не превышает 3 тысяч рублей, то он возвращается сдавшему его лицу. Если же стоимость подарка свыше 3 тысяч рублей либо вообще неизвестна государственному (муниципальному) служащему, то он сдается уполномоченному лицу организации, в которой он работает, с предоставлением права последующего выкупа данного подарка.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законодательство об исполнительном производстве внесены изменения.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28.12.2013 № 441-ФЗ внесены отдельные изменения и дополнения в Федеральный закон «Об исполнительном производстве».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10 января 2014 года значительно увеличивается минимальный размер исполнительского сбора, который устанавливается в размере не менее 1 тыс. рублей с должника - гражданина или должника - индивидуального предпринимателя и 10 тыс. рублей с должника - организации. В случае неисполнения исполнительного документа неимущественного характера исполнительский сбор с должника - гражданина или должника - индивидуального предпринимателя устанавливается в размере 5 тыс. рублей, с должника - организации - 50 тыс. рублей. Таким образом, в некоторых случаях сумма исполнительского сбора при неисполнении требований исполнительного документа добровольно может значительно превышать сумму задолженности.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мер принудительного исполнения дополнительно вводится освобождение нежилого помещения, земельного участка, снос строения, здания или сооружения либо их отдельных конструкций.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законом установлено, что исполнение указанных требований включает в себя освобождение земельного участка, указанного в исполнительном документе, от движимого и недвижимого имущества должника и запрещение должнику пользоваться освобожденным земельным участком.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снос расположенных на земельном участке строения, здания, сооружения либо их отдельных конструкций производится лишь в том случае, если это указано в исполнительном документе.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Принудительное исполнение данных требований производится с участием понятых, а в необходимых случаях - при содействии сотрудников внутренних дел. В целях обеспечения принудительного исполнения судебный пристав-исполнитель также вправе привлечь соответствующую специализированную организацию.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право лица, участвующего в исполнительном производстве, получать извещения о времени и месте совершения исполнительных действий или применения мер принудительного исполнения на любой указанный им адрес, в том числе на адрес электронной почты.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 норма, предусматривающая запрет на повторное предъявление исполнительных документов в течение определенного времени. Так, в случае возвращения взыскателю исполнительного документа в связи с отсутствием у должника имущества, за счет которого возможно исполнить требования исполнительного документа, он может быть предъявлен повторно не ранее шести месяцев со дня вынесения постановления об окончании исполнительного производства.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поправками уточнены иные вопросы. В частности, к исполнительным действиям отнесено право судебного пристава-исполнителя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 встречных однородных требований, подтвержденных исполнительными документами о взыскании денежных средств.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64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овое в налоговом законодательстве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2014 года вступили в силу ряд изменений налогового законодательства.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изменения претерпел порядок получения физическими лицами имущественного вычета по расходам на приобретение (строительство) жилья.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Федеральным законом от 23.07.2013 N 212-ФЗ "О внесении изменений в статью 220 части второй Налогового кодекса Российской Федерации" (далее - Федеральный закон № 212) внесены существенные изменения в ст. 220 НК РФ.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220 НК РФ (в редакции Федерального закона № 212) имущественный налоговый вычет по налогу на доходы физических лиц предоставляется в размере фактически произведенных налогоплательщиком расходов на новое строительство либо приобретение на территории Российской Федерации одного или нескольких объектов имущества (жилых домов, квартир, комнат или доли (долей) в них, приобретение земельных участков или (долей) в них, предоставленных для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жилищного строительства, и земельных участков или доли (долей) в них, на которых расположены приобретаемые жилые дома или доля (доли) в них), не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превышающем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2000000 рублей.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налоговый вычет может быть предоставлен по нескольким объектам, но общая сумма вычета - 2000000 рублей.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Имущественный вычет по расходам на погашение процентов по целевым займам (кредитам) выделен отдельным подпунктом (подп. 4 п. 1 ст. 220 НК РФ). Данный вычет предоставляется при наличии документов, подтверждающих право на имущественный вычет по расходам на приобретение жилья и, в отличие от указанного выше вычета, в отношении только одного объекта недвижимости (п. 4 и 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п. 8 ст. 220 НК РФ). Кроме того, установлено ограничение по его размеру – не более 3000000 рублей.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 перечень документов, которые подтверждают право на получение имущественного вычета по расходам на приобретение жилья и которые подаются вместе с соответствующей декларацией в налоговый орган.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2014 года получения вычета на приобретение жилья и вычета по расходам на погашение процентов физическому лицу не нужно подавать заявление.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редакция ст. 220 НК РФ не содержит положений о распределении имущественного вычета по расходам на приобретение жилья между совладельцами при покупке недвижимости в общую долевую или общую совместную собственность. Таким образом, каждый из совладельцев вправе получить указанный вычет в пределах 2000000 рублей. Если же участник общей долевой или общей совместной собственности не обратился в налоговый орган, он сохраняет право на получение такого вычета по другому объекту недвижимости в полном объеме.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п. 6 ст. 220 НК РФ также законодательно установлена возможность родителей (опекунов, попечителей, усыновителей и приемных родителей) получить имущественные вычеты по расходам на покупку жилья и на погашение процентов в отношении объектов недвижимости, приобретенных за счет средств этих физических лиц в собственность их несовершеннолетних детей (подопечных).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п. 8 ст. 220 НК РФ установлено право физического лица на получение имущественных вычетов по расходам на покупку жилья и на погашение процентов у нескольких налоговых агентов.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Существенные изменения в ст. 220 НК РФ касаются возможности переноса остатка имущественного налогового вычета на предшествующие налоговые периоды у налогоплательщиков-пенсионеров.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у налогоплательщиков, получающих пенсии в соответствии с законодательством Российской Федерации, имущественный налоговый вычет может быть перенесен на предшествующие налоговые периоды, но не более трех, непосредственно предшествующие налоговому периоду, в котором образовался переносимый остаток имущественного налогового вычета.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 1 января 2014 года перенести на предшествующие налоговые периоды остаток имущественных налоговых вычетов вправе и пенсионеры, имеющие доход, облагаемый по ставке 13 процентов.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новой редакции ст. 220 НК РФ применяются к правоотношениям, возникшим после 1 января 2014 года. Если право на получение имущественного вычета возникло у физического лица до указанной даты, то такие правоотношения регулируются нормами Налогового кодекса РФ в редакции, действовавшей до внесения в них изменений, даже если эти отношения не завершены на начало 2014 года.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23.07.2013 № 214-ФЗ внесены изменения в ст. 362 НК РФ, вступившие в силу в 1 января 2014 года.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указанными изменениями п. 2 ст. 362 НК РФ дополнен положениями, устанавливающими, что при исчислении суммы транспортного налога в </w:t>
      </w: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отношении отдельных категорий легковых автомобилей должен применяться повышающий коэффициент.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коэффициент определяется в зависимости от средней стоимости автомобиля и количества лет, прошедших с года его выпуска. Так, сумма транспортного налога будет умножаться: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1,5, 1,3 или 1,1 в отношении автомобилей средней стоимостью от 3 до 5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с года выпуска которых прошло не более одного, двух или трех лет соответственно (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4, 5 и 6 п. 2 ст. 362 НК РФ);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- 2, если средняя стоимость автомобиля составляет от 5 до 10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и с года выпуска прошло не более пяти лет (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 п. 2 ст. 362 НК РФ);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- 3, если с года выпуска транспортного средства стоимостью от 10 до 15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прошло не более 10 лет. Этот коэффициент будет использоваться также в случаях, если автомобиль выпущен не более 20 лет назад и его средняя стоимость превышает 15 </w:t>
      </w:r>
      <w:proofErr w:type="gram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(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 и 9 п. 2 ст. 362 НК РФ).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10 п. 2 ст. 362 НК РФ установлено, что указанные сроки рассчитываются, начиная с года выпуска соответствующего легкового автомобиля. Следует отметить, что в данной норме прямо не предусмотрено, учитывается ли при исчислении срока сам год выпуска. В связи с этим могут возникнуть спорные ситуации. </w:t>
      </w:r>
    </w:p>
    <w:p w:rsidR="00B05526" w:rsidRPr="00643F1E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11 п. 2 ст. 362 НК РФ порядок расчета средней стоимости транспортных средств определяет </w:t>
      </w:r>
      <w:proofErr w:type="spellStart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64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Кроме того, названное ведомство обязано ежегодно до 1 марта включительно размещать на своем официальном сайте перечень легковых автомобилей средней стоимостью от 3000000 рублей.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законодательные акты, направленные на защиту прав детей-сирот и детей, оставшихся без попечения родителей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февраля 2014 года в законодательные акты Российской Федерации по вопросам устройства детей-сирот и детей, оставшихся без попечения родителей, внесены изменения, касающиеся вопросов передачи детей на воспитание в семьи.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России ограничило усыновление детей в государства с легализованными однополыми браками, установлен запрет на усыновление детей лицами, состоящими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являющимися гражданами указанного государства и не состоящими в браке.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Правила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№ 275 «Об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гражданства» приведены в соответствие с изменениями в Семейный кодекс РФ, внесенными Федеральным законом от 02.07.2013 N 167-ФЗ и вступившими в силу с 25 ноября 2013 года, которые запретили усыновление детей, а также осуществление опеки и попечительства над детьми указанными лицами. </w:t>
      </w:r>
      <w:proofErr w:type="gramEnd"/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установлена обязанность органов опеки и попечительства информировать граждан, желающих усыновить ребенка или принять его на воспитание в семью, по широкому кругу вопросов, связанных с подготовкой документов, уточнен порядок обследования условий жизни лиц, желающих усыновить ребенка, определены сроки проведения контрольных обследований условий жизни и воспитания усыновленного ребенка, предусмотрено составление отчетов по результатам контрольных обследований, которые могут быть оспорены усыновителями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судебном порядке, закреплена обязанность органов опеки и попечительства 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плановые проверки условий жизни детей, оставшихся без попечения родителей и помещенных в организации для детей-сирот на период до их устройства на воспитание в семью.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изменения вступили в силу с 20 февраля 2014 года и направлены на защиту прав детей-сирот и детей, оставшихся без попечения родителей.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изменения в законодательстве о лотереях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 в сфере игорной деятельности регулируются Федеральным законом от 29.12.2006 № 244-ФЗ «О государственном регулировании деятельности по </w:t>
      </w: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и проведению азартных игр и о внесении изменений в некоторые законодательные акты Российской Федерации» (далее - Федеральный закон № 244-ФЗ) и Федеральным законом от 11.11.2003 № 138-ФЗ «О лотереях» (далее – Закон о лотереях).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4 Федерального закона № 244-ФЗ азартная игра - основанное на риске соглашение о выигрыше, заключенное двумя или несколькими участниками такого соглашения между собой либо с организатором азартной игры по правилам, установленным организатором азартной игры. С вступлением в силу Федерального закона № 244-ФЗ деятельность по организации и проведению азартных игр вне игорных зон согласно ст. 14 Федерального закона № 244-ФЗ может осуществляться только в букмекерских конторах и тотализаторах.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очередь, лотерея представляет собой игру, имеющую ряд отличительных признаков.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30 января 2014 года вступил в силу Федеральный закон от 28.12.2013 № 416-ФЗ «О внесении изменений в Федеральный закон «О лотереях» и отдельные законодательные акты Российской Федерации» (далее - Федеральный закон № 416-ФЗ). Указанным законом в Закон о лотереях внесены изменения, в том числе уточнены понятия, используемые в Законе о лотереях, детализированы вопросы взаимодействия организатора и оператора лотереи.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согласно ст. 2 Закона о лотереях (в редакции Федерального закона № 416-ФЗ) лотерея - игра, которая проводится в соответствии с договором и в которой одна сторона (оператор лотереи) проводит розыгрыш призового фонда лотереи, а вторая (участник лотереи) получает право на выигрыш, если она будет признана выигравшей в соответствии с условиями лотереи. Договор между оператором лотереи и участником лотереи заключается на добровольной основе и оформляется выдачей лотерейного билета, лотерейной квитанции либо электронным лотерейным билетом. На лотерейном билете, лотерейной квитанции, электронном лотерейном билете обязательно присутствие лотерейной комбинации, нанесенной (внесенной) на стадии изготовления (создания) соответствующего документа и (или) участником лотереи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под проведением лотереи подразумевается оказание услуг по осуществлению мероприятий, включающих в себя распространение (реализацию, учет) лотерейных билетов, электронных лотерейных билетов, учет лотерейных квитанций, заключение договоров с изготовителем лотерейных билетов, изготовителем лотерейного оборудования, лотерейных терминалов, распространителями и (или) иных необходимых для проведения лотереи договоров, заключение договоров с участниками лотереи, в том числе прием и учет лотерейных ставок, розыгрыш призового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лотереи, экспертизу выигрышных лотерейных билетов, лотерейных квитанций, электронных лотерейных билетов, выплату, передачу или предоставление выигрышей участникам лотереи.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этапом деятельности по проведению лотереи является организация лотереи - осуществление мероприятий, включающих в себя проведение конкурса по выбору оператора лотереи, заключение контракта с оператором лотереи, утверждение условий лотереи. Ответственным за данное мероприятие является организатор лотереи - федеральный орган исполнительной власти, уполномоченный Правительством Российской Федерации в установленном порядке на проведение лотереи. Организатор лотереи проводит лотерею через оператора лотереи посредством заключения с ним контракта.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№ 416-ФЗ в Закон о лотереях введены новые понятия, в том числе, такие как лотерейный терминал, представляющий собой техническое устройство, предназначенное для приема лотерейных ставок и выдачи лотерейных квитанций и используемое при проведении тиражных лотерей.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Обращают на себя внимание следующие изменения рассматриваемого законодательства.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27.07.2010 № 214-ФЗ «О внесении изменений в Федеральный закон «О лотереях» (вступил в силу 10.08.2010) в статью 3 Закона о лотереях вводилась часть 8, согласно которой запрещалось проведение стимулирующих лотерей с помощью механических, электрических, электронных или иных технических устройств, используемых для определения выигрышей, призов и (или) подарков, в том числе в денежных и натуральных показателях. </w:t>
      </w:r>
      <w:proofErr w:type="gramEnd"/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редакция ч. 8 ст. 3 Закона о лотереях действовала до 30.01.2014.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вступлением с 30.01.2014 в силу Федерального закона № 416-ФЗ часть 8 из статьи 3 Закона о лотереях исключена.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из Закона о лотереях исключено понятие стимулирующей лотереи. Согласно п. 2 ст. 3 Закона о лотереях, лотерея в зависимости от способа ее проведения подразделяется 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тиражную и </w:t>
      </w:r>
      <w:proofErr w:type="spell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бестиражную</w:t>
      </w:r>
      <w:proofErr w:type="spell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расширен перечень ограничений при проведении лотерей, которые, по-прежнему, запрещено проводить в период избирательной кампании, кампании 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референдума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выигрыш призов или участие в розыгрыше призов зависит от итогов голосования, результатов выборов, референдума либо которые иным образом связаны с выборами, референдумом.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не допускается: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азартных игр под видом лотерей;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лотерей с использованием игрового оборудования, в том числе игровых автоматов; с использованием сети «Интернет» и иных сре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а также лотерейных терминалов, за исключением лотерей, указанных в части 4 статьи 3 Закона о лотереях (Всероссийской государственной или международной лотереи).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внесенные в Закон о лотереях изменения означают, что с 30.01.2014 проведение тиражной лотереи с использованием лотерейного терминала является законным только в том случае, если лотерея является Всероссийской государственной либо международной, и при организации лотереи соблюдены требования Закона о лотереях в действующей редакции.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10 января 2014 года законом возложена обязанность возмещения потерпевшим причиненного преступлением ущерба, в случае условного осуждения виновного. В противном случае </w:t>
      </w:r>
      <w:proofErr w:type="gramStart"/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последний</w:t>
      </w:r>
      <w:proofErr w:type="gramEnd"/>
      <w:r w:rsidRPr="00A74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может быть направлен в места лишения свободы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настоящего времени возмещение ущерба причиненного преступлением для потерпевших оставалось большой проблемой. Так, если виновное лицо решением суда направлялось в места лишения свободы, то теоритически у потерпевшего имелся шанс получить денежные средства за причиненный преступлением ущерб, если осужденный в местах лишения свободы обеспечивался рабочим местом.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решением суда назначенное наказание признавалось условным, то, отбывая условное наказание, осужденный мог не предпринимать никаких шагов для погашения ущерба потерпевшему.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защиты прав потерпевших в Уголовно-исполнительный кодекс РФ Федеральным законом от 28.12.2013 № 432-ФЗ внесены изменения в ст. ст. 188, 190 УИК РФ, согласно которым на условно осужденного возлагается, в том числе обязанность по возмещению вреда причиненного преступлением в размере, определенным решением суда. В случае</w:t>
      </w:r>
      <w:proofErr w:type="gramStart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условно осужденный уклоняется от возмещения вреда (полностью или частично), путем сокрытия имущества, доходов, уклонения от работы или иным способом, то судом по представлению уголовно-исполнительной инспекции может быть отменено условное осуждение, и он направляется в места лишения свободы. </w:t>
      </w:r>
    </w:p>
    <w:p w:rsidR="00B05526" w:rsidRPr="00A7441A" w:rsidRDefault="00B05526" w:rsidP="00B05526">
      <w:pPr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изменения вступили в силу 10.01.2014 года. </w:t>
      </w:r>
    </w:p>
    <w:p w:rsidR="00B05526" w:rsidRDefault="00B05526" w:rsidP="00B0552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05526" w:rsidRDefault="00B05526" w:rsidP="00B0552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Старший помощник </w:t>
      </w:r>
    </w:p>
    <w:p w:rsidR="00B05526" w:rsidRDefault="00B05526" w:rsidP="00B0552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E70">
        <w:rPr>
          <w:rFonts w:ascii="Times New Roman" w:hAnsi="Times New Roman" w:cs="Times New Roman"/>
          <w:sz w:val="24"/>
          <w:szCs w:val="24"/>
        </w:rPr>
        <w:t xml:space="preserve">прокурора </w:t>
      </w:r>
      <w:r>
        <w:rPr>
          <w:rFonts w:ascii="Times New Roman" w:hAnsi="Times New Roman" w:cs="Times New Roman"/>
          <w:sz w:val="24"/>
          <w:szCs w:val="24"/>
        </w:rPr>
        <w:t xml:space="preserve"> Почепского</w:t>
      </w:r>
      <w:r w:rsidRPr="008C7E7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05526" w:rsidRPr="008C7E70" w:rsidRDefault="00B05526" w:rsidP="00B0552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младший </w:t>
      </w:r>
      <w:r w:rsidRPr="008C7E70">
        <w:rPr>
          <w:rFonts w:ascii="Times New Roman" w:hAnsi="Times New Roman" w:cs="Times New Roman"/>
          <w:sz w:val="24"/>
          <w:szCs w:val="24"/>
        </w:rPr>
        <w:t xml:space="preserve">советник юстиции </w:t>
      </w:r>
      <w:r w:rsidRPr="008C7E70">
        <w:rPr>
          <w:rFonts w:ascii="Times New Roman" w:hAnsi="Times New Roman" w:cs="Times New Roman"/>
          <w:sz w:val="24"/>
          <w:szCs w:val="24"/>
        </w:rPr>
        <w:tab/>
      </w:r>
      <w:r w:rsidRPr="008C7E70">
        <w:rPr>
          <w:rFonts w:ascii="Times New Roman" w:hAnsi="Times New Roman" w:cs="Times New Roman"/>
          <w:sz w:val="24"/>
          <w:szCs w:val="24"/>
        </w:rPr>
        <w:tab/>
      </w:r>
      <w:r w:rsidRPr="008C7E70">
        <w:rPr>
          <w:rFonts w:ascii="Times New Roman" w:hAnsi="Times New Roman" w:cs="Times New Roman"/>
          <w:sz w:val="24"/>
          <w:szCs w:val="24"/>
        </w:rPr>
        <w:tab/>
      </w:r>
      <w:r w:rsidRPr="008C7E70">
        <w:rPr>
          <w:rFonts w:ascii="Times New Roman" w:hAnsi="Times New Roman" w:cs="Times New Roman"/>
          <w:sz w:val="24"/>
          <w:szCs w:val="24"/>
        </w:rPr>
        <w:tab/>
      </w:r>
      <w:r w:rsidRPr="008C7E7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8C7E7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</w:t>
      </w:r>
      <w:r w:rsidRPr="008C7E70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</w:p>
    <w:p w:rsidR="005B0336" w:rsidRDefault="00B05526">
      <w:r>
        <w:t>17.03.14г.</w:t>
      </w:r>
      <w:bookmarkStart w:id="2" w:name="_GoBack"/>
      <w:bookmarkEnd w:id="2"/>
    </w:p>
    <w:sectPr w:rsidR="005B0336" w:rsidSect="0088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26"/>
    <w:rsid w:val="005B0336"/>
    <w:rsid w:val="00B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26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055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552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55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55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5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26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055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552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5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55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55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5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8390</Words>
  <Characters>47828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2014-03-20T06:49:00Z</dcterms:created>
  <dcterms:modified xsi:type="dcterms:W3CDTF">2014-03-20T07:14:00Z</dcterms:modified>
</cp:coreProperties>
</file>