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7DD" w:rsidRPr="008C17DD" w:rsidRDefault="008C17DD" w:rsidP="008C17D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3366"/>
          <w:sz w:val="27"/>
          <w:szCs w:val="27"/>
        </w:rPr>
      </w:pPr>
      <w:bookmarkStart w:id="0" w:name="_GoBack"/>
      <w:bookmarkEnd w:id="0"/>
      <w:r w:rsidRPr="008C17DD">
        <w:rPr>
          <w:rFonts w:ascii="Arial" w:eastAsia="Times New Roman" w:hAnsi="Arial" w:cs="Arial"/>
          <w:b/>
          <w:bCs/>
          <w:color w:val="003366"/>
          <w:sz w:val="27"/>
          <w:szCs w:val="27"/>
        </w:rPr>
        <w:t>ПРАВИТЕЛЬСТВО БРЯНСКОЙ ОБЛАСТИ</w:t>
      </w:r>
    </w:p>
    <w:p w:rsidR="008C17DD" w:rsidRPr="008C17DD" w:rsidRDefault="008C17DD" w:rsidP="008C17DD">
      <w:pPr>
        <w:spacing w:after="75" w:line="240" w:lineRule="auto"/>
        <w:jc w:val="center"/>
        <w:rPr>
          <w:rFonts w:ascii="Arial" w:eastAsia="Times New Roman" w:hAnsi="Arial" w:cs="Arial"/>
          <w:color w:val="203463"/>
          <w:sz w:val="27"/>
          <w:szCs w:val="27"/>
        </w:rPr>
      </w:pPr>
      <w:r>
        <w:rPr>
          <w:rFonts w:ascii="Arial" w:eastAsia="Times New Roman" w:hAnsi="Arial" w:cs="Arial"/>
          <w:noProof/>
          <w:color w:val="203463"/>
          <w:sz w:val="27"/>
          <w:szCs w:val="27"/>
        </w:rPr>
        <w:drawing>
          <wp:inline distT="0" distB="0" distL="0" distR="0">
            <wp:extent cx="8890" cy="17145"/>
            <wp:effectExtent l="0" t="0" r="0" b="0"/>
            <wp:docPr id="2" name="Рисунок 2" descr="http://old.bryanskobl.ru/img/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old.bryanskobl.ru/img/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7DD" w:rsidRPr="008C17DD" w:rsidRDefault="008C17DD" w:rsidP="008C17D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3366"/>
          <w:sz w:val="27"/>
          <w:szCs w:val="27"/>
        </w:rPr>
      </w:pPr>
      <w:r w:rsidRPr="008C17DD">
        <w:rPr>
          <w:rFonts w:ascii="Arial" w:eastAsia="Times New Roman" w:hAnsi="Arial" w:cs="Arial"/>
          <w:b/>
          <w:bCs/>
          <w:color w:val="003366"/>
          <w:sz w:val="27"/>
          <w:szCs w:val="27"/>
        </w:rPr>
        <w:t>П О С Т А Н О В Л Е Н И Е</w:t>
      </w:r>
    </w:p>
    <w:p w:rsidR="008C17DD" w:rsidRPr="008C17DD" w:rsidRDefault="008C17DD" w:rsidP="008C1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</w:r>
    </w:p>
    <w:tbl>
      <w:tblPr>
        <w:tblW w:w="25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4"/>
      </w:tblGrid>
      <w:tr w:rsidR="008C17DD" w:rsidRPr="008C17DD" w:rsidTr="008C17DD">
        <w:trPr>
          <w:tblCellSpacing w:w="0" w:type="dxa"/>
        </w:trPr>
        <w:tc>
          <w:tcPr>
            <w:tcW w:w="0" w:type="auto"/>
            <w:vAlign w:val="center"/>
            <w:hideMark/>
          </w:tcPr>
          <w:p w:rsidR="008C17DD" w:rsidRPr="008C17DD" w:rsidRDefault="008C17DD" w:rsidP="008C17DD">
            <w:pPr>
              <w:spacing w:after="0" w:line="240" w:lineRule="auto"/>
              <w:rPr>
                <w:rFonts w:ascii="Arial" w:eastAsia="Times New Roman" w:hAnsi="Arial" w:cs="Arial"/>
                <w:color w:val="203463"/>
                <w:sz w:val="27"/>
                <w:szCs w:val="27"/>
              </w:rPr>
            </w:pPr>
            <w:r w:rsidRPr="008C17DD">
              <w:rPr>
                <w:rFonts w:ascii="Arial" w:eastAsia="Times New Roman" w:hAnsi="Arial" w:cs="Arial"/>
                <w:color w:val="203463"/>
                <w:sz w:val="27"/>
                <w:szCs w:val="27"/>
              </w:rPr>
              <w:t>от 6 февраля 2017 г. № 36-п </w:t>
            </w:r>
            <w:r w:rsidRPr="008C17DD">
              <w:rPr>
                <w:rFonts w:ascii="Arial" w:eastAsia="Times New Roman" w:hAnsi="Arial" w:cs="Arial"/>
                <w:color w:val="203463"/>
                <w:sz w:val="27"/>
                <w:szCs w:val="27"/>
              </w:rPr>
              <w:br/>
              <w:t> г. Брянск</w:t>
            </w:r>
          </w:p>
        </w:tc>
      </w:tr>
      <w:tr w:rsidR="008C17DD" w:rsidRPr="008C17DD" w:rsidTr="008C17DD">
        <w:trPr>
          <w:tblCellSpacing w:w="0" w:type="dxa"/>
        </w:trPr>
        <w:tc>
          <w:tcPr>
            <w:tcW w:w="0" w:type="auto"/>
            <w:vAlign w:val="center"/>
            <w:hideMark/>
          </w:tcPr>
          <w:p w:rsidR="008C17DD" w:rsidRPr="008C17DD" w:rsidRDefault="008C17DD" w:rsidP="008C17DD">
            <w:pPr>
              <w:spacing w:after="0" w:line="240" w:lineRule="auto"/>
              <w:rPr>
                <w:rFonts w:ascii="Arial" w:eastAsia="Times New Roman" w:hAnsi="Arial" w:cs="Arial"/>
                <w:color w:val="203463"/>
                <w:sz w:val="27"/>
                <w:szCs w:val="27"/>
              </w:rPr>
            </w:pPr>
            <w:r w:rsidRPr="008C17DD">
              <w:rPr>
                <w:rFonts w:ascii="Arial" w:eastAsia="Times New Roman" w:hAnsi="Arial" w:cs="Arial"/>
                <w:color w:val="203463"/>
                <w:sz w:val="27"/>
                <w:szCs w:val="27"/>
              </w:rPr>
              <w:t> </w:t>
            </w:r>
          </w:p>
        </w:tc>
      </w:tr>
      <w:tr w:rsidR="008C17DD" w:rsidRPr="008C17DD" w:rsidTr="008C17DD">
        <w:trPr>
          <w:tblCellSpacing w:w="0" w:type="dxa"/>
        </w:trPr>
        <w:tc>
          <w:tcPr>
            <w:tcW w:w="0" w:type="auto"/>
            <w:vAlign w:val="center"/>
            <w:hideMark/>
          </w:tcPr>
          <w:p w:rsidR="008C17DD" w:rsidRPr="008C17DD" w:rsidRDefault="008C17DD" w:rsidP="008C17DD">
            <w:pPr>
              <w:spacing w:after="0" w:line="240" w:lineRule="auto"/>
              <w:rPr>
                <w:rFonts w:ascii="Arial" w:eastAsia="Times New Roman" w:hAnsi="Arial" w:cs="Arial"/>
                <w:color w:val="203463"/>
                <w:sz w:val="27"/>
                <w:szCs w:val="27"/>
              </w:rPr>
            </w:pPr>
            <w:r w:rsidRPr="008C17DD">
              <w:rPr>
                <w:rFonts w:ascii="Arial" w:eastAsia="Times New Roman" w:hAnsi="Arial" w:cs="Arial"/>
                <w:color w:val="203463"/>
                <w:sz w:val="27"/>
                <w:szCs w:val="27"/>
              </w:rPr>
              <w:t>ОБ ОРГАНИЗАЦИИ ОТДЫХА, ОЗДОРОВЛЕНИЯ И ЗАНЯТОСТИ ДЕТЕЙ И МОЛОДЕЖИ В БРЯНСКОЙ ОБЛАСТИ В 2017 ГОДУ</w:t>
            </w:r>
          </w:p>
        </w:tc>
      </w:tr>
    </w:tbl>
    <w:p w:rsidR="008C17DD" w:rsidRPr="008C17DD" w:rsidRDefault="008C17DD" w:rsidP="008C17DD">
      <w:pPr>
        <w:spacing w:after="0" w:line="240" w:lineRule="auto"/>
        <w:rPr>
          <w:rFonts w:ascii="Arial" w:eastAsia="Times New Roman" w:hAnsi="Arial" w:cs="Arial"/>
          <w:color w:val="203463"/>
          <w:sz w:val="27"/>
          <w:szCs w:val="27"/>
        </w:rPr>
      </w:pPr>
    </w:p>
    <w:p w:rsidR="008C17DD" w:rsidRPr="008C17DD" w:rsidRDefault="008C17DD" w:rsidP="008C17D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03463"/>
          <w:sz w:val="27"/>
          <w:szCs w:val="27"/>
        </w:rPr>
      </w:pPr>
      <w:r w:rsidRPr="008C17DD">
        <w:rPr>
          <w:rFonts w:ascii="Arial" w:eastAsia="Times New Roman" w:hAnsi="Arial" w:cs="Arial"/>
          <w:color w:val="203463"/>
          <w:sz w:val="27"/>
          <w:szCs w:val="27"/>
        </w:rPr>
        <w:t>В соответствии с федеральными законами от 24 июля 1998 года № 124-ФЗ «Об основных гарантиях прав ребенка в Российской Федерации»,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от 17 июля 1999 года № 178-ФЗ «О государственной социальной помощи», от 28 декабря 2013 года № 442-ФЗ «Об основах социального обслуживания граждан в Российской Федерации», приказом Министерства образования и науки Российской Федерации от 13 июля 2001 года № 2688 «Об утверждении Порядка проведения смен профильных лагерей, лагерей с дневным пребыванием, лагерей труда и отдыха», Законом Брянской области от 15 ноября 2007 года № 155-З «О государственной поддержке организации оздоровления, отдыха и занятости детей и молодежи в Брянской области», в целях организации и обеспечения отдыха, оздоровления и занятости детей и молодежи в Брянской области Правительство Брянской области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ПОСТАНОВЛЯЕТ:</w:t>
      </w:r>
    </w:p>
    <w:p w:rsidR="008C17DD" w:rsidRPr="008C17DD" w:rsidRDefault="008C17DD" w:rsidP="008C17D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03463"/>
          <w:sz w:val="27"/>
          <w:szCs w:val="27"/>
        </w:rPr>
      </w:pPr>
      <w:r w:rsidRPr="008C17DD">
        <w:rPr>
          <w:rFonts w:ascii="Arial" w:eastAsia="Times New Roman" w:hAnsi="Arial" w:cs="Arial"/>
          <w:color w:val="203463"/>
          <w:sz w:val="27"/>
          <w:szCs w:val="27"/>
        </w:rPr>
        <w:t>1. Организовать отдых, оздоровление и занятость детей и молодежи в Брянской области в 2017 году, в том числе нуждающихся в государственной поддержке.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2. Определить уполномоченным исполнительным органом государственной власти по организации отдыха и оздоровления детей и молодежи в Брянской области департамент образования и науки Брянской области.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3. Утвердить прилагаемые: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план мероприятий по обеспечению организации отдыха, оздоровления и занятости детей и молодежи в 2017 году;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Положение о порядке организации отдыха, оздоровления и занятости детей и молодежи в Брянской области;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Положение об организации в Брянской области детских оздоровительных лагерей с дневным пребыванием;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Положение об областном координационном совете по организации отдыха, оздоровления и занятости детей и молодежи;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состав областного координационного совета по организации отдыха, оздоровления и занятости детей и молодежи;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Положение о рабочей группе областного координационного совета по организации отдыха, оздоровления и занятости детей и молодежи;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 xml:space="preserve">состав рабочей группы областного координационного совета по организации 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lastRenderedPageBreak/>
        <w:t>отдыха, оздоровления и занятости детей и молодежи;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Порядок проведения смен профильных лагерей на территории Брянской области;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Положение о предоставлении гранта по итогам смотра-конкурса на звание «Лучший загородный оздоровительный лагерь».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4. Определить, что государственная поддержка граждан при организации отдыха и оздоровления детей оказывается: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4.1. Не чаще двух раз в год детям-сиротам и детям, оставшимся без попечения родителей, обучающимся в государственных образовательных организациях (детских домах, школах-интернатах, кадетских школах, кадетских корпусах), и несовершеннолетним воспитанникам стационарных отделений организаций социального обслуживания в возрасте от 3 до 17 лет (включительно) в специально подготовленных в соответствии с установленными требованиями организациях отдыха, оздоровления детей, а также детям, находящимся в трудной жизненной ситуации, получившим путевки в том числе за счет средств федерального бюджета.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4.2. Не чаще одного раза в год для всех категорий детей в возрасте от 6 до 17 лет (включительно), за исключением категорий детей, указанных в подпункте 4.1 пункта 4 настоящего постановления, без учета отдыха в оздоровительных организациях с дневным пребыванием детей, палаточных, профильных лагерях, лагерях труда и отдыха.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4.3. В смены профильного лагеря, лагеря труда и отдыха, лагеря с дневным пребыванием принимаются обучающиеся и воспитанники до 18 лет включительно, если это предусмотрено программой содержания деятельности смены лагеря.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При организации отдыха и занятости детей и молодежи в рамках профильных смен государственная поддержка граждан оказывается для всех категорий детей в возрасте от 6 до 18 лет (включительно), проживающих на территории Брянской области, в специально подготовленных (в соответствии с установленными требованиями) организациях отдыха и занятости детей и молодежи.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5. Установить продолжительность смены: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5.1. В загородных стационарных организациях отдыха и оздоровления детей (далее – загородные оздоровительные лагеря) – не менее 7 дней в период весенних, осенних, зимних школьных каникул, 21 день в период летних школьных каникул.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5.2. В оздоровительных организациях с дневным пребыванием детей (далее – оздоровительные лагеря с дневным пребыванием) – не менее 18 дней в период летних школьных каникул.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5.3. В санаторных оздоровительных организациях круглогодичного действия – 21 – 24 дня.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5.4. В палаточных лагерях – не менее 5 дней и не более 21 дня (кроме проходящих в условиях природной среды слетов, спортивных соревнований и учебно-тренировочных сборов).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5.5. Продолжительность смены профильного лагеря в летний период не менее двух календарных недель, в осенние, зимние и весенние каникулы не менее одной календарной недели. Изменение продолжительности смены лагеря допускается по согласованию с территориальным центром Госсанэпиднадзора.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 xml:space="preserve">6. Финансовое обеспечение расходов на оплату стоимости путевок производится организациям отдыха и оздоровления детей, специализированным (профильным) лагерям, расположенным на базе загородных оздоровительных 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lastRenderedPageBreak/>
        <w:t>лагерей, расположенным на территории Брянской области, и осуществляется: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из расчета не более 593 рублей на одного ребенка в сутки в загородные стационарные организации отдыха и оздоровления детей; 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из расчета не более 744 рублей на одного ребенка в сутки в санаторные оздоровительные организации круглогодичного действия. 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7. Установить 100-процентную оплату стоимости путевки для следующих категорий детей: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дети-сироты и дети, оставшиеся без попечения родителей;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дети-инвалиды;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дети, пострадавшие в результате террористических актов;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дети из семей беженцев;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дети – жертвы вооруженных и межнациональных конфликтов, стихийных бедствий;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дети из семей лиц, погибших или получивших ранения при исполнении служебного долга;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дети, состоящие на учете в комиссиях по делам несовершеннолетних и защите их прав, из малообеспеченных и находящихся в трудной жизненной ситуации семей;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дети, проживающие в малообеспеченных семьях;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несовершеннолетние воспитанники стационарных отделений учреждений социального обслуживания населения.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8. Детям-сиротам и детям, оставшимся без попечения родителей, лицам из числа детей-сирот и детей, оставшихся без попечения родителей, предоставляются путевки в организации отдыха детей и их оздоровления (в санаторно-курортные организации – при наличии медицинских показаний), а также оплачивается проезд к месту лечения (отдыха) и обратно в рамках средств, предусмотренных бюджетом Брянской области. Департамент образования и науки Брянской области и органы местного самоуправления Брянской области обеспечивают предоставление детям-сиротам и детям, оставшимся без попечения родителей, лицам из числа детей-сирот и детей, оставшихся без попечения родителей, путевок в организации отдыха детей и их оздоровления в первоочередном порядке.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9. Установить долю расходов областного бюджета стоимости путевки для детей, один из родителей которых постоянно или преимущественно проживает на территории Брянской области: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для загородных оздоровительных лагерей – 7476 рублей;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для санаторных оздоровительных организаций – 9366 рублей.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Рекомендовать руководителям оздоровительных организаций устанавливать родительскую долю стоимости путевки, не превышающую сумму содержания одного ребенка в сутки, установленную в пункте 6 настоящего постановления.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10. Рекомендовать главам администраций муниципальных районов и городских округов с участием профсоюзных, молодежных, детских и иных общественных организаций и объединений: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обеспечить эффективную деятельность территориальных межведомственных комиссий по организации оздоровления, отдыха и занятости детей и молодежи;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 xml:space="preserve">обеспечить организованное проведение летней оздоровительной кампании, обратив особое внимание на подготовку и сохранение сети стационарных детских оздоровительных лагерей, находящихся в муниципальной собственности, на укрепление и развитие их материальной базы, санитарно-эпидемиологическое благополучие здравниц, активное использование 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lastRenderedPageBreak/>
        <w:t>материально-технической базы образовательных организаций, организаций дополнительного образования, спортивных учреждений, центров социального обслуживания населения для отдыха детей и подростков;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развивать и внедрять экономичные и эффективные формы отдыха, оздоровления и занятости детей, организовывать лагеря труда и отдыха, профильные и палаточные лагеря, лагеря с дневным пребыванием, работу площадок по месту жительства, создавать условия для развития детского туризма;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обеспечить организованную доставку детей к местам отдыха, общественный порядок и безопасность пребывания детей в местах дислокации лагерей, контроль за противопожарной безопасностью в организациях оздоровления и на прилегающей к ним территории;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организовать проведение медицинских осмотров детей, подростков и членов студенческих отрядов при оформлении временной занятости в летний период;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не допускать при организации отдыха детей и молодежи за пределами области и страны отправки групп турфирмами и предприятиями без уведомления санитарных служб страны или управления Федеральной службы по надзору в сфере защиты прав потребителей и благополучия человека по Брянской области;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обеспечить медицинское сопровождение организованных групп детей и молодежи при автоперевозках;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обеспечить ведение раздела «Организация отдыха и оздоровления детей и молодежи» на официальных сайтах муниципальных образований;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организовать информирование населения о механизме организации оздоровления и отдыха детей и молодежи в Брянской области;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назначить лиц, ответственных за прием заявлений от родителей (законных представителей) на отдых и оздоровление детей, выдачу путевок и ведение сводного реестра оздоровленных детей с использованием средств областного бюджета на возмещение части стоимости путевки в загородную стационарную организацию отдыха и оздоровления детей или санаторную оздоровительную организацию круглогодичного действия. При изменении данного лица своевременно информировать уполномоченный орган местного самоуправления, представить актуальную контактную информацию;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организовать персонифицированный учет получателей путевок, приобретенных за счет средств областного бюджета в загородных стационарных организациях отдыха и оздоровления детей или санаторных оздоровительных организациях круглогодичного действия;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назначить лиц, ответственных за прием заявлений от родителей (законных представителей) на отдых и оздоровление детей, ведение сводного реестра оздоровленных детей в организациях с дневным пребыванием детей, осуществляемое за счет субсидий из областного бюджета и средств местных бюджетов;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организовать персонифицированный учет получателей услуги отдыха и оздоровления детей в организациях с дневным пребыванием детей, осуществляемой за счет субсидий из областного бюджета и средств местных бюджетов.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 xml:space="preserve">11. Рекомендовать управлению Федеральной службы по надзору в сфере защиты прав потребителей и благополучия человека по Брянской области осуществлять государственный санитарно-эпидемиологический надзор в организациях оздоровления и отдыха детей и молодежи, при подготовке к 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lastRenderedPageBreak/>
        <w:t>перевозке организованных групп детей и молодежи к местам отдыха и обратно.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12. Рекомендовать управлению Министерства внутренних дел Российской Федерации по Брянской области: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осуществлять профилактические меры по предупреждению правонарушений несовершеннолетних, детского дорожно-транспортного травматизма;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обеспечить проведение разъяснительной работы среди несовершеннолетних, отдыхающих в организациях оздоровления и отдыха, направленной на предупреждение правонарушений, совершаемых несовершеннолетними и в их отношении;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обеспечить проведение в летний период профилактических мероприятий с несовершеннолетними группы особого внимания, несовершеннолетними, освободившимися из мест лишения свободы, несовершеннолетними, состоящими на учете в подразделениях по делам несовершеннолетних.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13. Рекомендовать руководителям, учредителям организаций отдыха и оздоровления различных типов: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провести необходимую подготовку к приему детей в соответствии с планом-заданием, выданным управлением Федеральной службы по надзору в сфере защиты прав потребителей и благополучия человека по Брянской области;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принять действенные меры по организации полноценного питания, подготовке и подбору квалифицированного персонала в пищеблоки;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обеспечить качественный подбор поставщиков продовольственного сырья и пищевых продуктов, организаторов питания;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организовать качественный питьевой режим с использованием питье-вой воды, соответствующей требованиям санитарных правил;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 xml:space="preserve">обеспечить проведение </w:t>
      </w:r>
      <w:proofErr w:type="spellStart"/>
      <w:r w:rsidRPr="008C17DD">
        <w:rPr>
          <w:rFonts w:ascii="Arial" w:eastAsia="Times New Roman" w:hAnsi="Arial" w:cs="Arial"/>
          <w:color w:val="203463"/>
          <w:sz w:val="27"/>
          <w:szCs w:val="27"/>
        </w:rPr>
        <w:t>дератизационных</w:t>
      </w:r>
      <w:proofErr w:type="spellEnd"/>
      <w:r w:rsidRPr="008C17DD">
        <w:rPr>
          <w:rFonts w:ascii="Arial" w:eastAsia="Times New Roman" w:hAnsi="Arial" w:cs="Arial"/>
          <w:color w:val="203463"/>
          <w:sz w:val="27"/>
          <w:szCs w:val="27"/>
        </w:rPr>
        <w:t xml:space="preserve">, дезинфекционных, дезинсекционных мероприятий и </w:t>
      </w:r>
      <w:proofErr w:type="spellStart"/>
      <w:r w:rsidRPr="008C17DD">
        <w:rPr>
          <w:rFonts w:ascii="Arial" w:eastAsia="Times New Roman" w:hAnsi="Arial" w:cs="Arial"/>
          <w:color w:val="203463"/>
          <w:sz w:val="27"/>
          <w:szCs w:val="27"/>
        </w:rPr>
        <w:t>аккарицидных</w:t>
      </w:r>
      <w:proofErr w:type="spellEnd"/>
      <w:r w:rsidRPr="008C17DD">
        <w:rPr>
          <w:rFonts w:ascii="Arial" w:eastAsia="Times New Roman" w:hAnsi="Arial" w:cs="Arial"/>
          <w:color w:val="203463"/>
          <w:sz w:val="27"/>
          <w:szCs w:val="27"/>
        </w:rPr>
        <w:t xml:space="preserve"> (противоклещевых) обработок открытых территорий, жилых корпусов, пищеблока, мест общего пользования;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обеспечить выполнение противопожарных мероприятий, а также создание безопасных условий в местах отдыха на воде;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обеспечить проведение комплекса охранных мероприятий с привлечением государственных и частных охранных предприятий;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организовать страхование детей на период их пребывания в организациях оздоровления и отдыха;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приемку готовности оздоровительных организаций осуществлять комиссионно с участием представителей управления Федеральной службы по надзору в сфере защиты прав потребителей и благополучия человека по Брянской области,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Брянской области, управления Министерства внутренних дел Российской Федерации по Брянской области с последующим оформлением акта приемки.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14. Рекомендовать руководителям предприятий и организаций всех форм собственности, осуществляющих деятельность на территории Брянской области, совместно с профсоюзными комитетами содействовать обеспечению отдыха и оздоровления детей сотрудников в оздоровительных учреждениях, в том числе за счет средств предприятия.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15. Департаменту образования и науки Брянской области в срок до 1 марта 2017 года разработать и утвердить административный регламент по формированию и ведению реестра организаций отдыха и оздоровления детей.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 xml:space="preserve">16. Признать утратившими силу постановления Правительства Брянской 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lastRenderedPageBreak/>
        <w:t>области: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от 12 февраля 2016 года № 95-п «Об организации отдыха, оздоровления и занятости детей и молодежи в Брянской области в 2016 году»;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от 20 июня 2016 года № 303-п «О внесении изменений в постановление Правительства Брянской области от 12 февраля 2016 года № 95-п «Об организации отдыха, оздоровления и занятости детей и молодежи в Брянской области в 2016 году» и утверждении Порядка проведения смен профильных лагерей на территории Брянской области»;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от 10 октября 2016 года № 518-п «О внесении изменения в постановление Правительства Брянской области от 12 февраля 2016 года № 95-п «Об организации отдыха, оздоровления и занятости детей и молодежи в Брянской области в 2016 году».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17. Настоящее постановление вступает в силу после его официального опубликования.</w:t>
      </w: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  <w:t>18. Контроль за исполнением постановления возложить на заместителя Губернатора Брянской области Щеглова Н.М.</w:t>
      </w:r>
    </w:p>
    <w:p w:rsidR="008C17DD" w:rsidRPr="008C17DD" w:rsidRDefault="008C17DD" w:rsidP="008C1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C17DD">
        <w:rPr>
          <w:rFonts w:ascii="Arial" w:eastAsia="Times New Roman" w:hAnsi="Arial" w:cs="Arial"/>
          <w:color w:val="203463"/>
          <w:sz w:val="27"/>
          <w:szCs w:val="27"/>
        </w:rPr>
        <w:br/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8"/>
        <w:gridCol w:w="2069"/>
      </w:tblGrid>
      <w:tr w:rsidR="008C17DD" w:rsidRPr="008C17DD" w:rsidTr="008C17DD">
        <w:trPr>
          <w:tblCellSpacing w:w="0" w:type="dxa"/>
        </w:trPr>
        <w:tc>
          <w:tcPr>
            <w:tcW w:w="4000" w:type="pct"/>
            <w:vAlign w:val="center"/>
            <w:hideMark/>
          </w:tcPr>
          <w:p w:rsidR="008C17DD" w:rsidRPr="008C17DD" w:rsidRDefault="008C17DD" w:rsidP="008C17DD">
            <w:pPr>
              <w:spacing w:after="0" w:line="240" w:lineRule="auto"/>
              <w:rPr>
                <w:rFonts w:ascii="Arial" w:eastAsia="Times New Roman" w:hAnsi="Arial" w:cs="Arial"/>
                <w:color w:val="203463"/>
                <w:sz w:val="27"/>
                <w:szCs w:val="27"/>
              </w:rPr>
            </w:pPr>
            <w:r w:rsidRPr="008C17DD">
              <w:rPr>
                <w:rFonts w:ascii="Arial" w:eastAsia="Times New Roman" w:hAnsi="Arial" w:cs="Arial"/>
                <w:color w:val="203463"/>
                <w:sz w:val="27"/>
                <w:szCs w:val="27"/>
              </w:rPr>
              <w:t>Губернатор</w:t>
            </w:r>
          </w:p>
        </w:tc>
        <w:tc>
          <w:tcPr>
            <w:tcW w:w="1000" w:type="pct"/>
            <w:vAlign w:val="center"/>
            <w:hideMark/>
          </w:tcPr>
          <w:p w:rsidR="008C17DD" w:rsidRPr="008C17DD" w:rsidRDefault="008C17DD" w:rsidP="008C17DD">
            <w:pPr>
              <w:spacing w:after="0" w:line="240" w:lineRule="auto"/>
              <w:rPr>
                <w:rFonts w:ascii="Arial" w:eastAsia="Times New Roman" w:hAnsi="Arial" w:cs="Arial"/>
                <w:color w:val="203463"/>
                <w:sz w:val="27"/>
                <w:szCs w:val="27"/>
              </w:rPr>
            </w:pPr>
            <w:r w:rsidRPr="008C17DD">
              <w:rPr>
                <w:rFonts w:ascii="Arial" w:eastAsia="Times New Roman" w:hAnsi="Arial" w:cs="Arial"/>
                <w:color w:val="203463"/>
                <w:sz w:val="27"/>
                <w:szCs w:val="27"/>
              </w:rPr>
              <w:t>А.В.Богомаз</w:t>
            </w:r>
          </w:p>
        </w:tc>
      </w:tr>
    </w:tbl>
    <w:p w:rsidR="00A66EC2" w:rsidRPr="008C17DD" w:rsidRDefault="00A66EC2" w:rsidP="008C17DD">
      <w:pPr>
        <w:spacing w:after="0" w:line="240" w:lineRule="auto"/>
      </w:pPr>
    </w:p>
    <w:sectPr w:rsidR="00A66EC2" w:rsidRPr="008C17DD" w:rsidSect="00CC0C80">
      <w:pgSz w:w="11906" w:h="16838"/>
      <w:pgMar w:top="709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F014B"/>
    <w:multiLevelType w:val="multilevel"/>
    <w:tmpl w:val="85AC86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33B"/>
    <w:rsid w:val="001A2068"/>
    <w:rsid w:val="00357B12"/>
    <w:rsid w:val="005447A9"/>
    <w:rsid w:val="008C17DD"/>
    <w:rsid w:val="00A66EC2"/>
    <w:rsid w:val="00CC0C80"/>
    <w:rsid w:val="00D3633B"/>
    <w:rsid w:val="00F5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C17DD"/>
  </w:style>
  <w:style w:type="paragraph" w:styleId="a3">
    <w:name w:val="Normal (Web)"/>
    <w:basedOn w:val="a"/>
    <w:uiPriority w:val="99"/>
    <w:semiHidden/>
    <w:unhideWhenUsed/>
    <w:rsid w:val="008C17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C1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17DD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8C17DD"/>
    <w:rPr>
      <w:b/>
      <w:bCs/>
    </w:rPr>
  </w:style>
  <w:style w:type="character" w:styleId="a7">
    <w:name w:val="Hyperlink"/>
    <w:basedOn w:val="a0"/>
    <w:uiPriority w:val="99"/>
    <w:semiHidden/>
    <w:unhideWhenUsed/>
    <w:rsid w:val="008C17D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C17DD"/>
  </w:style>
  <w:style w:type="paragraph" w:styleId="a3">
    <w:name w:val="Normal (Web)"/>
    <w:basedOn w:val="a"/>
    <w:uiPriority w:val="99"/>
    <w:semiHidden/>
    <w:unhideWhenUsed/>
    <w:rsid w:val="008C17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C1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17DD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8C17DD"/>
    <w:rPr>
      <w:b/>
      <w:bCs/>
    </w:rPr>
  </w:style>
  <w:style w:type="character" w:styleId="a7">
    <w:name w:val="Hyperlink"/>
    <w:basedOn w:val="a0"/>
    <w:uiPriority w:val="99"/>
    <w:semiHidden/>
    <w:unhideWhenUsed/>
    <w:rsid w:val="008C17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8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6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8432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5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36857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2282</Words>
  <Characters>13013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15265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ГАУО БРЦИО</dc:creator>
  <cp:lastModifiedBy>\</cp:lastModifiedBy>
  <cp:revision>2</cp:revision>
  <dcterms:created xsi:type="dcterms:W3CDTF">2017-12-04T13:03:00Z</dcterms:created>
  <dcterms:modified xsi:type="dcterms:W3CDTF">2017-12-04T13:03:00Z</dcterms:modified>
</cp:coreProperties>
</file>